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0" w:rsidRDefault="00DB4340" w:rsidP="00DB434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DB4340" w:rsidRDefault="00DB4340" w:rsidP="00DB4340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Дом здравља „1.октобар“ Пландиште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Карађорђева бр. 13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Пландиште</w:t>
      </w:r>
    </w:p>
    <w:p w:rsidR="005F35C8" w:rsidRPr="003D2DEF" w:rsidRDefault="005F35C8">
      <w:r w:rsidRPr="003D2DEF">
        <w:rPr>
          <w:lang w:val="sr-Cyrl-CS"/>
        </w:rPr>
        <w:t>е-маил: dom.zdravlja@hemo.net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тел/факс: 013/861-230</w:t>
      </w:r>
    </w:p>
    <w:p w:rsidR="005F35C8" w:rsidRPr="00525EF4" w:rsidRDefault="005F35C8">
      <w:pPr>
        <w:rPr>
          <w:lang w:val="sr-Cyrl-RS"/>
        </w:rPr>
      </w:pPr>
      <w:r w:rsidRPr="003D2DEF">
        <w:rPr>
          <w:lang w:val="sr-Cyrl-CS"/>
        </w:rPr>
        <w:t>Број:</w:t>
      </w:r>
      <w:r w:rsidRPr="003D2DEF">
        <w:t xml:space="preserve"> </w:t>
      </w:r>
      <w:r w:rsidR="00525EF4">
        <w:rPr>
          <w:lang w:val="sr-Cyrl-RS"/>
        </w:rPr>
        <w:t>258</w:t>
      </w:r>
    </w:p>
    <w:p w:rsidR="005F35C8" w:rsidRPr="003D2DEF" w:rsidRDefault="005F35C8">
      <w:r w:rsidRPr="003D2DEF">
        <w:rPr>
          <w:lang w:val="sr-Cyrl-CS"/>
        </w:rPr>
        <w:t xml:space="preserve">Дана: </w:t>
      </w:r>
      <w:r w:rsidR="007E394A" w:rsidRPr="00525EF4">
        <w:rPr>
          <w:lang w:val="sr-Cyrl-CS"/>
        </w:rPr>
        <w:t>26</w:t>
      </w:r>
      <w:r w:rsidR="003B3F36" w:rsidRPr="00525EF4">
        <w:rPr>
          <w:lang w:val="sr-Cyrl-CS"/>
        </w:rPr>
        <w:t>.0</w:t>
      </w:r>
      <w:r w:rsidR="007E394A" w:rsidRPr="00525EF4">
        <w:rPr>
          <w:lang w:val="sr-Cyrl-CS"/>
        </w:rPr>
        <w:t>5</w:t>
      </w:r>
      <w:r w:rsidR="003B3F36" w:rsidRPr="00525EF4">
        <w:rPr>
          <w:lang w:val="sr-Cyrl-CS"/>
        </w:rPr>
        <w:t>.20</w:t>
      </w:r>
      <w:r w:rsidR="007E394A" w:rsidRPr="00525EF4">
        <w:rPr>
          <w:lang w:val="sr-Cyrl-CS"/>
        </w:rPr>
        <w:t>20</w:t>
      </w:r>
      <w:r w:rsidR="00E25B56" w:rsidRPr="00525EF4">
        <w:t>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E25B56" w:rsidRPr="003D2DEF" w:rsidRDefault="00405C03" w:rsidP="00505DA2">
      <w:pPr>
        <w:jc w:val="both"/>
        <w:rPr>
          <w:lang w:val="sr-Cyrl-RS"/>
        </w:rPr>
      </w:pPr>
      <w:r w:rsidRPr="003D2DEF">
        <w:t xml:space="preserve">На основу члана 108. Закона о јавним набавкама („Сл. гласник РС“, бр. 124/12, 14/15 и 68/15; у даљем тексту: ЗЈН), </w:t>
      </w:r>
      <w:r w:rsidR="00E25B56" w:rsidRPr="003D2DEF">
        <w:rPr>
          <w:lang w:val="sr-Cyrl-CS"/>
        </w:rPr>
        <w:t xml:space="preserve">и </w:t>
      </w:r>
      <w:r w:rsidR="00E25B56" w:rsidRPr="003D2DEF">
        <w:rPr>
          <w:lang w:val="sr-Cyrl-RS"/>
        </w:rPr>
        <w:t>Извештаја о стручној оцени понуда</w:t>
      </w:r>
      <w:r w:rsidR="00E25B56" w:rsidRPr="003D2DEF">
        <w:rPr>
          <w:lang w:val="sl-SI"/>
        </w:rPr>
        <w:t xml:space="preserve"> </w:t>
      </w:r>
      <w:r w:rsidR="00E25B56" w:rsidRPr="003D2DEF">
        <w:rPr>
          <w:lang w:val="sr-Cyrl-CS"/>
        </w:rPr>
        <w:t>Комисиј</w:t>
      </w:r>
      <w:r w:rsidR="00E25B56" w:rsidRPr="003D2DEF">
        <w:rPr>
          <w:lang w:val="sr-Cyrl-RS"/>
        </w:rPr>
        <w:t>е</w:t>
      </w:r>
      <w:r w:rsidR="00E25B56" w:rsidRPr="003D2DEF">
        <w:rPr>
          <w:lang w:val="sr-Cyrl-CS"/>
        </w:rPr>
        <w:t xml:space="preserve"> за јавн</w:t>
      </w:r>
      <w:r w:rsidR="00E25B56" w:rsidRPr="003D2DEF">
        <w:rPr>
          <w:lang w:val="sr-Cyrl-RS"/>
        </w:rPr>
        <w:t>у</w:t>
      </w:r>
      <w:r w:rsidR="00E25B56" w:rsidRPr="003D2DEF">
        <w:rPr>
          <w:lang w:val="sr-Cyrl-CS"/>
        </w:rPr>
        <w:t xml:space="preserve"> набавк</w:t>
      </w:r>
      <w:r w:rsidR="00E25B56" w:rsidRPr="003D2DEF">
        <w:rPr>
          <w:lang w:val="sr-Cyrl-RS"/>
        </w:rPr>
        <w:t>у,</w:t>
      </w:r>
      <w:r w:rsidR="00E25B56" w:rsidRPr="003D2DEF">
        <w:rPr>
          <w:lang w:val="sr-Cyrl-CS"/>
        </w:rPr>
        <w:t xml:space="preserve"> број </w:t>
      </w:r>
      <w:r w:rsidR="00525EF4" w:rsidRPr="00525EF4">
        <w:rPr>
          <w:lang w:val="sr-Cyrl-CS"/>
        </w:rPr>
        <w:t>257</w:t>
      </w:r>
      <w:r w:rsidR="003B3F36" w:rsidRPr="00525EF4">
        <w:rPr>
          <w:lang w:val="sr-Cyrl-CS"/>
        </w:rPr>
        <w:t xml:space="preserve"> од</w:t>
      </w:r>
      <w:r w:rsidR="00505DA2" w:rsidRPr="00525EF4">
        <w:t xml:space="preserve"> </w:t>
      </w:r>
      <w:r w:rsidR="007E394A" w:rsidRPr="00525EF4">
        <w:rPr>
          <w:lang w:val="sr-Cyrl-CS"/>
        </w:rPr>
        <w:t>26</w:t>
      </w:r>
      <w:r w:rsidR="003B3F36" w:rsidRPr="00525EF4">
        <w:rPr>
          <w:lang w:val="sr-Cyrl-CS"/>
        </w:rPr>
        <w:t>.0</w:t>
      </w:r>
      <w:r w:rsidR="007E394A" w:rsidRPr="00525EF4">
        <w:rPr>
          <w:lang w:val="sr-Cyrl-CS"/>
        </w:rPr>
        <w:t>5</w:t>
      </w:r>
      <w:r w:rsidR="003B3F36" w:rsidRPr="00525EF4">
        <w:rPr>
          <w:lang w:val="sr-Cyrl-CS"/>
        </w:rPr>
        <w:t>.20</w:t>
      </w:r>
      <w:r w:rsidR="007E394A" w:rsidRPr="00525EF4">
        <w:rPr>
          <w:lang w:val="sr-Cyrl-CS"/>
        </w:rPr>
        <w:t>20</w:t>
      </w:r>
      <w:r w:rsidR="00E25B56" w:rsidRPr="00525EF4">
        <w:rPr>
          <w:lang w:val="sr-Cyrl-CS"/>
        </w:rPr>
        <w:t>. године</w:t>
      </w:r>
      <w:r w:rsidR="00E25B56" w:rsidRPr="00525EF4">
        <w:rPr>
          <w:lang w:val="sl-SI"/>
        </w:rPr>
        <w:t>,</w:t>
      </w:r>
      <w:r w:rsidR="00E25B56" w:rsidRPr="00525EF4">
        <w:rPr>
          <w:lang w:val="sr-Cyrl-RS"/>
        </w:rPr>
        <w:t xml:space="preserve"> </w:t>
      </w:r>
      <w:r w:rsidR="00E25B56" w:rsidRPr="00525EF4">
        <w:rPr>
          <w:lang w:val="sr-Cyrl-CS"/>
        </w:rPr>
        <w:t xml:space="preserve"> </w:t>
      </w:r>
      <w:r w:rsidR="00E25B56" w:rsidRPr="00525EF4">
        <w:rPr>
          <w:lang w:val="sr-Cyrl-RS"/>
        </w:rPr>
        <w:t xml:space="preserve">директор </w:t>
      </w:r>
      <w:r w:rsidR="00E25B56" w:rsidRPr="00525EF4">
        <w:rPr>
          <w:lang w:val="sr-Cyrl-CS"/>
        </w:rPr>
        <w:t>Дома Здравља „1.октобар“ Пландиште</w:t>
      </w:r>
      <w:r w:rsidR="00E25B56" w:rsidRPr="00525EF4">
        <w:rPr>
          <w:lang w:val="sr-Cyrl-RS"/>
        </w:rPr>
        <w:t xml:space="preserve">, </w:t>
      </w:r>
      <w:r w:rsidR="00E25B56" w:rsidRPr="00525EF4">
        <w:rPr>
          <w:lang w:val="sl-SI"/>
        </w:rPr>
        <w:t xml:space="preserve"> </w:t>
      </w:r>
      <w:r w:rsidR="00505DA2" w:rsidRPr="00525EF4">
        <w:rPr>
          <w:lang w:val="sr-Cyrl-CS"/>
        </w:rPr>
        <w:t xml:space="preserve">дана </w:t>
      </w:r>
      <w:r w:rsidR="007E394A" w:rsidRPr="00525EF4">
        <w:rPr>
          <w:lang w:val="sr-Cyrl-CS"/>
        </w:rPr>
        <w:t>26</w:t>
      </w:r>
      <w:r w:rsidR="00E25B56" w:rsidRPr="00525EF4">
        <w:rPr>
          <w:lang w:val="sr-Cyrl-CS"/>
        </w:rPr>
        <w:t>.</w:t>
      </w:r>
      <w:r w:rsidR="003B3F36" w:rsidRPr="00525EF4">
        <w:rPr>
          <w:lang w:val="sr-Cyrl-CS"/>
        </w:rPr>
        <w:t>0</w:t>
      </w:r>
      <w:r w:rsidR="007E394A" w:rsidRPr="00525EF4">
        <w:rPr>
          <w:lang w:val="sr-Cyrl-CS"/>
        </w:rPr>
        <w:t>5</w:t>
      </w:r>
      <w:r w:rsidR="003B3F36" w:rsidRPr="00525EF4">
        <w:rPr>
          <w:lang w:val="sr-Cyrl-CS"/>
        </w:rPr>
        <w:t>.20</w:t>
      </w:r>
      <w:r w:rsidR="007E394A" w:rsidRPr="00525EF4">
        <w:rPr>
          <w:lang w:val="sr-Cyrl-CS"/>
        </w:rPr>
        <w:t>20</w:t>
      </w:r>
      <w:r w:rsidR="003B3F36" w:rsidRPr="00525EF4">
        <w:rPr>
          <w:lang w:val="sr-Cyrl-CS"/>
        </w:rPr>
        <w:t>.</w:t>
      </w:r>
      <w:r w:rsidR="00E25B56" w:rsidRPr="00525EF4">
        <w:rPr>
          <w:lang w:val="sr-Cyrl-CS"/>
        </w:rPr>
        <w:t xml:space="preserve"> </w:t>
      </w:r>
      <w:r w:rsidR="00E25B56" w:rsidRPr="003D2DEF">
        <w:rPr>
          <w:lang w:val="sr-Cyrl-RS"/>
        </w:rPr>
        <w:t>г</w:t>
      </w:r>
      <w:r w:rsidR="00E25B56" w:rsidRPr="003D2DEF">
        <w:rPr>
          <w:lang w:val="sr-Cyrl-CS"/>
        </w:rPr>
        <w:t>одине</w:t>
      </w:r>
      <w:r w:rsidR="00E25B56" w:rsidRPr="003D2DEF">
        <w:rPr>
          <w:lang w:val="sr-Cyrl-RS"/>
        </w:rPr>
        <w:t xml:space="preserve"> доноси:</w:t>
      </w:r>
    </w:p>
    <w:p w:rsidR="00E25B56" w:rsidRPr="003D2DEF" w:rsidRDefault="00E25B56" w:rsidP="00E25B56">
      <w:pPr>
        <w:rPr>
          <w:lang w:val="sr-Cyrl-RS"/>
        </w:rPr>
      </w:pPr>
    </w:p>
    <w:p w:rsidR="00405C03" w:rsidRPr="003D2DEF" w:rsidRDefault="00405C03">
      <w:pPr>
        <w:pStyle w:val="nazivobrasca-expand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ОДЛУКУ</w:t>
      </w:r>
    </w:p>
    <w:p w:rsidR="00405C03" w:rsidRPr="003D2DEF" w:rsidRDefault="00405C03">
      <w:pPr>
        <w:pStyle w:val="nazivobrasca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о додели уговора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5F35C8" w:rsidRPr="003D2DEF" w:rsidRDefault="00405C03" w:rsidP="003D2DEF">
      <w:pPr>
        <w:pStyle w:val="text"/>
        <w:ind w:firstLine="708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Уговор за јавну набавку </w:t>
      </w:r>
      <w:r w:rsidR="005F35C8" w:rsidRPr="003D2DEF">
        <w:rPr>
          <w:rFonts w:ascii="Times New Roman" w:hAnsi="Times New Roman"/>
          <w:sz w:val="24"/>
          <w:szCs w:val="24"/>
          <w:lang w:val="sr-Cyrl-CS"/>
        </w:rPr>
        <w:t>мале вредности бр.</w:t>
      </w:r>
      <w:r w:rsidR="003B3F36" w:rsidRPr="003D2DEF">
        <w:rPr>
          <w:rFonts w:ascii="Times New Roman" w:hAnsi="Times New Roman"/>
          <w:sz w:val="24"/>
          <w:szCs w:val="24"/>
          <w:lang w:val="sr-Cyrl-CS"/>
        </w:rPr>
        <w:t>2/20</w:t>
      </w:r>
      <w:r w:rsidR="000D0B7F">
        <w:rPr>
          <w:rFonts w:ascii="Times New Roman" w:hAnsi="Times New Roman"/>
          <w:sz w:val="24"/>
          <w:szCs w:val="24"/>
          <w:lang w:val="sr-Cyrl-CS"/>
        </w:rPr>
        <w:t>20</w:t>
      </w:r>
      <w:r w:rsidR="005F35C8" w:rsidRPr="003D2DEF">
        <w:rPr>
          <w:rFonts w:ascii="Times New Roman" w:hAnsi="Times New Roman"/>
          <w:sz w:val="24"/>
          <w:szCs w:val="24"/>
          <w:lang w:val="sr-Cyrl-CS"/>
        </w:rPr>
        <w:t xml:space="preserve"> – лабораторијски материјал и реагенси</w:t>
      </w:r>
      <w:r w:rsidRPr="003D2DEF">
        <w:rPr>
          <w:rFonts w:ascii="Times New Roman" w:hAnsi="Times New Roman"/>
          <w:sz w:val="24"/>
          <w:szCs w:val="24"/>
        </w:rPr>
        <w:t xml:space="preserve"> додељује се понуђач</w:t>
      </w:r>
      <w:r w:rsidR="00E25B56" w:rsidRPr="003D2DEF">
        <w:rPr>
          <w:rFonts w:ascii="Times New Roman" w:hAnsi="Times New Roman"/>
          <w:sz w:val="24"/>
          <w:szCs w:val="24"/>
          <w:lang w:val="sr-Cyrl-CS"/>
        </w:rPr>
        <w:t>има</w:t>
      </w:r>
      <w:r w:rsidR="005F35C8" w:rsidRPr="003D2DEF">
        <w:rPr>
          <w:rFonts w:ascii="Times New Roman" w:hAnsi="Times New Roman"/>
          <w:sz w:val="24"/>
          <w:szCs w:val="24"/>
          <w:lang w:val="sr-Cyrl-CS"/>
        </w:rPr>
        <w:t>:</w:t>
      </w:r>
    </w:p>
    <w:p w:rsidR="003B3F36" w:rsidRPr="003D2DEF" w:rsidRDefault="003B3F36" w:rsidP="003B3F36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Викор доо, за Партију 1, 2, 5, 6, 7. </w:t>
      </w:r>
    </w:p>
    <w:p w:rsidR="00405C03" w:rsidRPr="003D2DEF" w:rsidRDefault="003B3F36" w:rsidP="003B3F36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>Гросис доо, за Партију 3, 4.</w:t>
      </w:r>
    </w:p>
    <w:p w:rsidR="003B3F36" w:rsidRPr="003D2DEF" w:rsidRDefault="003B3F36" w:rsidP="003B3F36">
      <w:pPr>
        <w:pStyle w:val="text"/>
        <w:ind w:left="720"/>
        <w:rPr>
          <w:rFonts w:ascii="Times New Roman" w:hAnsi="Times New Roman"/>
          <w:sz w:val="24"/>
          <w:szCs w:val="24"/>
        </w:rPr>
      </w:pPr>
    </w:p>
    <w:p w:rsidR="00405C03" w:rsidRPr="003D2DEF" w:rsidRDefault="00405C03" w:rsidP="003D2DEF">
      <w:pPr>
        <w:pStyle w:val="text"/>
        <w:ind w:firstLine="708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Ову одлуку у року од три дана објавити на Пoрталу јавних набавки и интернет страници наручиоца.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Default="00405C03">
      <w:pPr>
        <w:pStyle w:val="o-obrazlozenje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>Образложење</w:t>
      </w:r>
    </w:p>
    <w:p w:rsidR="003D2DEF" w:rsidRPr="003D2DEF" w:rsidRDefault="003D2DEF">
      <w:pPr>
        <w:pStyle w:val="o-obrazlozenje"/>
        <w:rPr>
          <w:rFonts w:ascii="Times New Roman" w:hAnsi="Times New Roman"/>
          <w:sz w:val="24"/>
          <w:szCs w:val="24"/>
          <w:lang w:val="sr-Cyrl-CS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Наручилац је дана </w:t>
      </w:r>
      <w:r w:rsidR="00431B19">
        <w:rPr>
          <w:rFonts w:ascii="Times New Roman" w:hAnsi="Times New Roman"/>
          <w:sz w:val="24"/>
          <w:szCs w:val="24"/>
          <w:lang w:val="sr-Cyrl-CS"/>
        </w:rPr>
        <w:t>06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.05.20</w:t>
      </w:r>
      <w:r w:rsidR="00431B19">
        <w:rPr>
          <w:rFonts w:ascii="Times New Roman" w:hAnsi="Times New Roman"/>
          <w:sz w:val="24"/>
          <w:szCs w:val="24"/>
          <w:lang w:val="sr-Cyrl-CS"/>
        </w:rPr>
        <w:t>20</w:t>
      </w:r>
      <w:r w:rsidR="00E25B56" w:rsidRPr="003D2DEF">
        <w:rPr>
          <w:rFonts w:ascii="Times New Roman" w:hAnsi="Times New Roman"/>
          <w:sz w:val="24"/>
          <w:szCs w:val="24"/>
        </w:rPr>
        <w:t>.</w:t>
      </w:r>
      <w:r w:rsidRPr="003D2DEF">
        <w:rPr>
          <w:rFonts w:ascii="Times New Roman" w:hAnsi="Times New Roman"/>
          <w:sz w:val="24"/>
          <w:szCs w:val="24"/>
        </w:rPr>
        <w:t xml:space="preserve"> </w:t>
      </w:r>
      <w:r w:rsidR="00E25B56" w:rsidRPr="003D2DEF">
        <w:rPr>
          <w:rFonts w:ascii="Times New Roman" w:hAnsi="Times New Roman"/>
          <w:sz w:val="24"/>
          <w:szCs w:val="24"/>
        </w:rPr>
        <w:t>године донео одлуку о покретању</w:t>
      </w:r>
      <w:r w:rsidRPr="003D2DEF">
        <w:rPr>
          <w:rFonts w:ascii="Times New Roman" w:hAnsi="Times New Roman"/>
          <w:sz w:val="24"/>
          <w:szCs w:val="24"/>
        </w:rPr>
        <w:t xml:space="preserve"> поступка јавне набавке бр.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2</w:t>
      </w:r>
      <w:r w:rsidR="003D2DEF">
        <w:rPr>
          <w:rFonts w:ascii="Times New Roman" w:hAnsi="Times New Roman"/>
          <w:sz w:val="24"/>
          <w:szCs w:val="24"/>
          <w:lang w:val="sr-Cyrl-CS"/>
        </w:rPr>
        <w:t>/20</w:t>
      </w:r>
      <w:r w:rsidR="00431B19">
        <w:rPr>
          <w:rFonts w:ascii="Times New Roman" w:hAnsi="Times New Roman"/>
          <w:sz w:val="24"/>
          <w:szCs w:val="24"/>
          <w:lang w:val="sr-Cyrl-CS"/>
        </w:rPr>
        <w:t>20</w:t>
      </w:r>
      <w:r w:rsidRPr="003D2DEF">
        <w:rPr>
          <w:rFonts w:ascii="Times New Roman" w:hAnsi="Times New Roman"/>
          <w:sz w:val="24"/>
          <w:szCs w:val="24"/>
        </w:rPr>
        <w:t xml:space="preserve">, за јавну набавку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мале вредности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 xml:space="preserve"> – лабораторијског материјала и реагенаса за 20</w:t>
      </w:r>
      <w:r w:rsidR="00431B19">
        <w:rPr>
          <w:rFonts w:ascii="Times New Roman" w:hAnsi="Times New Roman"/>
          <w:sz w:val="24"/>
          <w:szCs w:val="24"/>
          <w:lang w:val="sr-Cyrl-CS"/>
        </w:rPr>
        <w:t>20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 xml:space="preserve"> годину.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До истека рока за подношење понуда на адресу наручиоца приспело је </w:t>
      </w:r>
      <w:r w:rsidR="00431B19">
        <w:rPr>
          <w:rFonts w:ascii="Times New Roman" w:hAnsi="Times New Roman"/>
          <w:sz w:val="24"/>
          <w:szCs w:val="24"/>
          <w:lang w:val="sr-Cyrl-CS"/>
        </w:rPr>
        <w:t>2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D2DEF">
        <w:rPr>
          <w:rFonts w:ascii="Times New Roman" w:hAnsi="Times New Roman"/>
          <w:sz w:val="24"/>
          <w:szCs w:val="24"/>
        </w:rPr>
        <w:t>понуд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е</w:t>
      </w:r>
      <w:r w:rsidRPr="003D2DEF">
        <w:rPr>
          <w:rFonts w:ascii="Times New Roman" w:hAnsi="Times New Roman"/>
          <w:sz w:val="24"/>
          <w:szCs w:val="24"/>
        </w:rPr>
        <w:t>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Након спроведеног отварања понуда Комисија за јавне набавке је приступила стручној оцени понуда и о томе сачинила извештај.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525EF4">
        <w:rPr>
          <w:rFonts w:ascii="Times New Roman" w:hAnsi="Times New Roman"/>
          <w:sz w:val="24"/>
          <w:szCs w:val="24"/>
        </w:rPr>
        <w:t xml:space="preserve">У извештају о стручној оцени понуда, бр. </w:t>
      </w:r>
      <w:r w:rsidR="00525EF4" w:rsidRPr="00525EF4">
        <w:rPr>
          <w:rFonts w:ascii="Times New Roman" w:hAnsi="Times New Roman"/>
          <w:sz w:val="24"/>
          <w:szCs w:val="24"/>
          <w:lang w:val="sr-Cyrl-CS"/>
        </w:rPr>
        <w:t>257</w:t>
      </w:r>
      <w:r w:rsidRPr="00525EF4">
        <w:rPr>
          <w:rFonts w:ascii="Times New Roman" w:hAnsi="Times New Roman"/>
          <w:sz w:val="24"/>
          <w:szCs w:val="24"/>
        </w:rPr>
        <w:t xml:space="preserve">, од </w:t>
      </w:r>
      <w:r w:rsidR="007E394A" w:rsidRPr="00525EF4">
        <w:rPr>
          <w:rFonts w:ascii="Times New Roman" w:hAnsi="Times New Roman"/>
          <w:sz w:val="24"/>
          <w:szCs w:val="24"/>
          <w:lang w:val="sr-Cyrl-CS"/>
        </w:rPr>
        <w:t>26</w:t>
      </w:r>
      <w:r w:rsidR="003D2DEF" w:rsidRPr="00525EF4">
        <w:rPr>
          <w:rFonts w:ascii="Times New Roman" w:hAnsi="Times New Roman"/>
          <w:sz w:val="24"/>
          <w:szCs w:val="24"/>
          <w:lang w:val="sr-Cyrl-CS"/>
        </w:rPr>
        <w:t>.0</w:t>
      </w:r>
      <w:r w:rsidR="007E394A" w:rsidRPr="00525EF4">
        <w:rPr>
          <w:rFonts w:ascii="Times New Roman" w:hAnsi="Times New Roman"/>
          <w:sz w:val="24"/>
          <w:szCs w:val="24"/>
          <w:lang w:val="sr-Cyrl-CS"/>
        </w:rPr>
        <w:t>5</w:t>
      </w:r>
      <w:r w:rsidR="00DE57A0" w:rsidRPr="00525EF4">
        <w:rPr>
          <w:rFonts w:ascii="Times New Roman" w:hAnsi="Times New Roman"/>
          <w:sz w:val="24"/>
          <w:szCs w:val="24"/>
          <w:lang w:val="sr-Cyrl-CS"/>
        </w:rPr>
        <w:t>.</w:t>
      </w:r>
      <w:r w:rsidR="003D2DEF" w:rsidRPr="00525EF4">
        <w:rPr>
          <w:rFonts w:ascii="Times New Roman" w:hAnsi="Times New Roman"/>
          <w:sz w:val="24"/>
          <w:szCs w:val="24"/>
          <w:lang w:val="sr-Cyrl-CS"/>
        </w:rPr>
        <w:t>20</w:t>
      </w:r>
      <w:r w:rsidR="007E394A" w:rsidRPr="00525EF4">
        <w:rPr>
          <w:rFonts w:ascii="Times New Roman" w:hAnsi="Times New Roman"/>
          <w:sz w:val="24"/>
          <w:szCs w:val="24"/>
          <w:lang w:val="sr-Cyrl-CS"/>
        </w:rPr>
        <w:t>20</w:t>
      </w:r>
      <w:r w:rsidR="003D2DEF" w:rsidRPr="00525EF4">
        <w:rPr>
          <w:rFonts w:ascii="Times New Roman" w:hAnsi="Times New Roman"/>
          <w:sz w:val="24"/>
          <w:szCs w:val="24"/>
          <w:lang w:val="sr-Cyrl-CS"/>
        </w:rPr>
        <w:t>.</w:t>
      </w:r>
      <w:r w:rsidRPr="00525EF4">
        <w:rPr>
          <w:rFonts w:ascii="Times New Roman" w:hAnsi="Times New Roman"/>
          <w:sz w:val="24"/>
          <w:szCs w:val="24"/>
        </w:rPr>
        <w:t xml:space="preserve"> године, Комисија за јавне </w:t>
      </w:r>
      <w:r w:rsidRPr="003D2DEF">
        <w:rPr>
          <w:rFonts w:ascii="Times New Roman" w:hAnsi="Times New Roman"/>
          <w:sz w:val="24"/>
          <w:szCs w:val="24"/>
        </w:rPr>
        <w:t>набавке је констатовала следеће:</w:t>
      </w:r>
    </w:p>
    <w:p w:rsidR="005F35C8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1) Предмет јавне набавке је: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Јавна набавка мале вредности – лабораторијски материјал и реагенси.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2) Процењена вредност јавне набавке износи: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1.</w:t>
      </w:r>
      <w:r w:rsidR="00431B19">
        <w:rPr>
          <w:rFonts w:ascii="Times New Roman" w:hAnsi="Times New Roman"/>
          <w:sz w:val="24"/>
          <w:szCs w:val="24"/>
          <w:lang w:val="sr-Cyrl-CS"/>
        </w:rPr>
        <w:t>000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.000,00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  <w:r w:rsidR="00431B19">
        <w:rPr>
          <w:rFonts w:ascii="Times New Roman" w:hAnsi="Times New Roman"/>
          <w:sz w:val="24"/>
          <w:szCs w:val="24"/>
          <w:lang w:val="sr-Cyrl-CS"/>
        </w:rPr>
        <w:t>са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 xml:space="preserve"> ПДВ-</w:t>
      </w:r>
      <w:r w:rsidR="00431B19">
        <w:rPr>
          <w:rFonts w:ascii="Times New Roman" w:hAnsi="Times New Roman"/>
          <w:sz w:val="24"/>
          <w:szCs w:val="24"/>
          <w:lang w:val="sr-Cyrl-CS"/>
        </w:rPr>
        <w:t>ом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.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Партија 1. Реагенси и потр</w:t>
      </w:r>
      <w:r w:rsidR="003D2DEF">
        <w:rPr>
          <w:lang w:val="sr-Cyrl-CS"/>
        </w:rPr>
        <w:t>ошни материјал за АBX Micros 60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Партија 2. Реагенси и потрошни м</w:t>
      </w:r>
      <w:r w:rsidR="003D2DEF">
        <w:rPr>
          <w:lang w:val="sr-Cyrl-CS"/>
        </w:rPr>
        <w:t>атеријал за протромбинско време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</w:t>
      </w:r>
      <w:r w:rsidR="003D2DEF">
        <w:rPr>
          <w:lang w:val="sr-Cyrl-CS"/>
        </w:rPr>
        <w:t>тија 3. Лабораторијска пластика</w:t>
      </w:r>
    </w:p>
    <w:p w:rsidR="009232A5" w:rsidRPr="003D2DEF" w:rsidRDefault="003D2DEF" w:rsidP="003D2DEF">
      <w:pPr>
        <w:ind w:left="284"/>
        <w:rPr>
          <w:lang w:val="sr-Cyrl-CS"/>
        </w:rPr>
      </w:pPr>
      <w:r>
        <w:rPr>
          <w:lang w:val="sr-Cyrl-CS"/>
        </w:rPr>
        <w:t>Партија 4. Хемикалије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Партија 5. Реагенси, раствори, калибрациони и контролни серуми за биохемијско</w:t>
      </w:r>
      <w:r w:rsidR="003D2DEF">
        <w:rPr>
          <w:lang w:val="sr-Cyrl-CS"/>
        </w:rPr>
        <w:t xml:space="preserve"> одређивање параметара у серуму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 xml:space="preserve">Партија </w:t>
      </w:r>
      <w:r w:rsidR="003D2DEF">
        <w:rPr>
          <w:lang w:val="sr-Cyrl-CS"/>
        </w:rPr>
        <w:t>6. Реагенс траке за урин апарат</w:t>
      </w:r>
    </w:p>
    <w:p w:rsidR="009232A5" w:rsidRPr="003D2DEF" w:rsidRDefault="003D2DEF" w:rsidP="003D2DEF">
      <w:pPr>
        <w:ind w:left="284"/>
        <w:rPr>
          <w:lang w:val="sr-Cyrl-CS"/>
        </w:rPr>
      </w:pPr>
      <w:r>
        <w:rPr>
          <w:lang w:val="sr-Cyrl-CS"/>
        </w:rPr>
        <w:t>Партија 7. Вакум системи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3) Укупан број поднетих понуда: </w:t>
      </w:r>
      <w:r w:rsidR="00431B19">
        <w:rPr>
          <w:rFonts w:ascii="Times New Roman" w:hAnsi="Times New Roman"/>
          <w:sz w:val="24"/>
          <w:szCs w:val="24"/>
          <w:lang w:val="sr-Cyrl-RS"/>
        </w:rPr>
        <w:t>2</w:t>
      </w:r>
      <w:r w:rsidRPr="003D2DEF">
        <w:rPr>
          <w:rFonts w:ascii="Times New Roman" w:hAnsi="Times New Roman"/>
          <w:sz w:val="24"/>
          <w:szCs w:val="24"/>
        </w:rPr>
        <w:t>.</w:t>
      </w:r>
    </w:p>
    <w:tbl>
      <w:tblPr>
        <w:tblW w:w="4000" w:type="pct"/>
        <w:jc w:val="center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357"/>
        <w:gridCol w:w="3796"/>
      </w:tblGrid>
      <w:tr w:rsidR="00405C03" w:rsidRPr="003D2DEF">
        <w:trPr>
          <w:trHeight w:val="371"/>
          <w:jc w:val="center"/>
        </w:trPr>
        <w:tc>
          <w:tcPr>
            <w:tcW w:w="7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D2DEF">
              <w:rPr>
                <w:rFonts w:ascii="Times New Roman" w:hAnsi="Times New Roman"/>
                <w:sz w:val="24"/>
                <w:szCs w:val="24"/>
              </w:rPr>
              <w:lastRenderedPageBreak/>
              <w:t>Основни подаци о понуђачима</w:t>
            </w:r>
          </w:p>
        </w:tc>
      </w:tr>
      <w:tr w:rsidR="00405C03" w:rsidRPr="003D2DEF">
        <w:trPr>
          <w:trHeight w:val="402"/>
          <w:jc w:val="center"/>
        </w:trPr>
        <w:tc>
          <w:tcPr>
            <w:tcW w:w="408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Благовремене понуде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Неблаговремене понуде</w:t>
            </w:r>
          </w:p>
        </w:tc>
      </w:tr>
      <w:tr w:rsidR="003D2DEF" w:rsidRPr="003D2DEF" w:rsidTr="003D2DEF">
        <w:trPr>
          <w:trHeight w:val="402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7E394A" w:rsidP="00A050C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3D2DEF"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C2262A" w:rsidRDefault="003D2DEF" w:rsidP="003D2DEF">
            <w:r w:rsidRPr="00C2262A">
              <w:t>Викор доо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 w:rsidP="00A050C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  <w:tr w:rsidR="003D2DEF" w:rsidRPr="003D2DEF" w:rsidTr="003D2DEF">
        <w:trPr>
          <w:trHeight w:val="402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7E394A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3D2DEF" w:rsidRPr="003D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Default="003D2DEF" w:rsidP="003D2DEF">
            <w:r w:rsidRPr="00C2262A">
              <w:t>Гросис доо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</w:tbl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4) Називи, односно имена понуђача чије су понуде одбијене, разлози за њихово одбијање и цена: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3652"/>
        <w:gridCol w:w="3683"/>
      </w:tblGrid>
      <w:tr w:rsidR="00405C03" w:rsidRPr="003D2DEF">
        <w:trPr>
          <w:trHeight w:val="402"/>
          <w:jc w:val="center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Подносилац понуде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Разлози за одбијање понуде и понуђена цена тих понуда</w:t>
            </w:r>
          </w:p>
        </w:tc>
      </w:tr>
      <w:tr w:rsidR="00405C03" w:rsidRPr="003D2DEF">
        <w:trPr>
          <w:trHeight w:val="383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EF" w:rsidRPr="003D2DEF" w:rsidRDefault="003D2DEF" w:rsidP="003D2DEF">
            <w:pPr>
              <w:pStyle w:val="tex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A2348" w:rsidRPr="003D2DEF" w:rsidTr="000B070A">
        <w:trPr>
          <w:trHeight w:val="383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348" w:rsidRPr="003D2DEF" w:rsidRDefault="003A2348" w:rsidP="003A2348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348" w:rsidRPr="003A2348" w:rsidRDefault="003A2348" w:rsidP="000B070A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48" w:rsidRPr="003D2DEF" w:rsidRDefault="003A2348" w:rsidP="009C0E9D">
            <w:pPr>
              <w:pStyle w:val="tex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Критеријум за оцењивање понуде је: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најнижа понуђена цена.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      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a) Ранг-листа понуђача:</w:t>
      </w:r>
    </w:p>
    <w:tbl>
      <w:tblPr>
        <w:tblW w:w="4158" w:type="pct"/>
        <w:jc w:val="center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987"/>
        <w:gridCol w:w="3692"/>
      </w:tblGrid>
      <w:tr w:rsidR="00405C03" w:rsidRPr="003D2DEF" w:rsidTr="00431B19">
        <w:trPr>
          <w:trHeight w:val="402"/>
          <w:jc w:val="center"/>
        </w:trPr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Назив/име понуђача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Понуђена цена (без ПДВ-а)</w:t>
            </w:r>
          </w:p>
        </w:tc>
      </w:tr>
      <w:tr w:rsidR="00431B19" w:rsidRPr="003D2DEF" w:rsidTr="00431B19">
        <w:trPr>
          <w:trHeight w:val="383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B19" w:rsidRPr="003D2DEF" w:rsidRDefault="00431B19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B19" w:rsidRPr="003D2DEF" w:rsidRDefault="00431B19" w:rsidP="00405C03">
            <w:r>
              <w:t>VICOR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Партија 1. 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Вредност </w:t>
            </w:r>
            <w:r w:rsidRPr="0030464B">
              <w:t>221.000,00</w:t>
            </w:r>
            <w:r w:rsidRPr="0030464B">
              <w:rPr>
                <w:lang w:val="sr-Cyrl-CS"/>
              </w:rPr>
              <w:t xml:space="preserve"> без ПДВ-а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2.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Вредност </w:t>
            </w:r>
            <w:r w:rsidRPr="0030464B">
              <w:t>95.440,00</w:t>
            </w:r>
            <w:r w:rsidRPr="0030464B">
              <w:rPr>
                <w:lang w:val="sr-Cyrl-CS"/>
              </w:rPr>
              <w:t xml:space="preserve"> без ПДВ-а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3.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нема.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4.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нема.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5.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Вредност </w:t>
            </w:r>
            <w:r w:rsidRPr="0030464B">
              <w:t>275.600,00</w:t>
            </w:r>
            <w:r w:rsidRPr="0030464B">
              <w:rPr>
                <w:lang w:val="sr-Cyrl-CS"/>
              </w:rPr>
              <w:t xml:space="preserve">  без ПДВ-а.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6.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Вредност </w:t>
            </w:r>
            <w:r w:rsidRPr="0030464B">
              <w:t>15.895,00</w:t>
            </w:r>
            <w:r w:rsidRPr="0030464B">
              <w:rPr>
                <w:lang w:val="sr-Cyrl-CS"/>
              </w:rPr>
              <w:t xml:space="preserve">  без ПДВ-а.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7.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Вредност </w:t>
            </w:r>
            <w:r w:rsidRPr="0030464B">
              <w:t>194.493,00</w:t>
            </w:r>
            <w:r w:rsidRPr="0030464B">
              <w:rPr>
                <w:lang w:val="sr-Cyrl-CS"/>
              </w:rPr>
              <w:t xml:space="preserve">   без ПДВ-а.</w:t>
            </w:r>
          </w:p>
        </w:tc>
      </w:tr>
      <w:tr w:rsidR="00431B19" w:rsidRPr="003D2DEF" w:rsidTr="00431B19">
        <w:trPr>
          <w:trHeight w:val="402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B19" w:rsidRPr="003D2DEF" w:rsidRDefault="00431B19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B19" w:rsidRPr="003D2DEF" w:rsidRDefault="00431B19" w:rsidP="00405C03">
            <w:pPr>
              <w:rPr>
                <w:lang w:val="sr-Cyrl-CS"/>
              </w:rPr>
            </w:pPr>
            <w:r w:rsidRPr="003D2DEF">
              <w:t>GROSIS</w:t>
            </w:r>
            <w:r w:rsidRPr="003D2DEF">
              <w:rPr>
                <w:lang w:val="sr-Cyrl-CS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19" w:rsidRPr="0030464B" w:rsidRDefault="00431B19" w:rsidP="00B02068">
            <w:pPr>
              <w:jc w:val="both"/>
              <w:rPr>
                <w:lang w:val="ro-RO"/>
              </w:rPr>
            </w:pPr>
            <w:r w:rsidRPr="0030464B">
              <w:rPr>
                <w:lang w:val="sr-Cyrl-CS"/>
              </w:rPr>
              <w:t xml:space="preserve">Партија 1. </w:t>
            </w:r>
          </w:p>
          <w:p w:rsidR="00431B19" w:rsidRPr="0030464B" w:rsidRDefault="00431B19" w:rsidP="00B02068">
            <w:pPr>
              <w:jc w:val="both"/>
              <w:rPr>
                <w:lang w:val="sr-Cyrl-RS"/>
              </w:rPr>
            </w:pPr>
            <w:r w:rsidRPr="0030464B">
              <w:rPr>
                <w:lang w:val="sr-Cyrl-RS"/>
              </w:rPr>
              <w:t>нема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2.</w:t>
            </w:r>
          </w:p>
          <w:p w:rsidR="00431B19" w:rsidRPr="0030464B" w:rsidRDefault="00431B19" w:rsidP="00B02068">
            <w:pPr>
              <w:jc w:val="both"/>
              <w:rPr>
                <w:lang w:val="ro-RO"/>
              </w:rPr>
            </w:pPr>
            <w:r w:rsidRPr="0030464B">
              <w:rPr>
                <w:lang w:val="sr-Cyrl-CS"/>
              </w:rPr>
              <w:t>нема</w:t>
            </w:r>
          </w:p>
          <w:p w:rsidR="00431B19" w:rsidRPr="0030464B" w:rsidRDefault="00431B19" w:rsidP="00B02068">
            <w:pPr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Партија 3. Вредност </w:t>
            </w:r>
            <w:r w:rsidRPr="0030464B">
              <w:t>6.250,00</w:t>
            </w:r>
            <w:r w:rsidRPr="0030464B">
              <w:rPr>
                <w:lang w:val="sr-Cyrl-CS"/>
              </w:rPr>
              <w:t xml:space="preserve"> без ПДВ-а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4.</w:t>
            </w:r>
          </w:p>
          <w:p w:rsidR="00431B19" w:rsidRPr="0030464B" w:rsidRDefault="00431B19" w:rsidP="00B02068">
            <w:pPr>
              <w:rPr>
                <w:lang w:val="sr-Cyrl-CS"/>
              </w:rPr>
            </w:pPr>
            <w:r w:rsidRPr="0030464B">
              <w:rPr>
                <w:lang w:val="sr-Cyrl-CS"/>
              </w:rPr>
              <w:t xml:space="preserve">Вредност </w:t>
            </w:r>
            <w:r w:rsidRPr="0030464B">
              <w:t>25.485,00</w:t>
            </w:r>
            <w:r w:rsidRPr="0030464B">
              <w:rPr>
                <w:lang w:val="sr-Cyrl-CS"/>
              </w:rPr>
              <w:t xml:space="preserve"> без ПДВ-а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5.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нема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6.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нема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Партија 7.</w:t>
            </w:r>
          </w:p>
          <w:p w:rsidR="00431B19" w:rsidRPr="0030464B" w:rsidRDefault="00431B19" w:rsidP="00B02068">
            <w:pPr>
              <w:jc w:val="both"/>
              <w:rPr>
                <w:lang w:val="sr-Cyrl-CS"/>
              </w:rPr>
            </w:pPr>
            <w:r w:rsidRPr="0030464B">
              <w:rPr>
                <w:lang w:val="sr-Cyrl-CS"/>
              </w:rPr>
              <w:t>нема</w:t>
            </w:r>
          </w:p>
        </w:tc>
      </w:tr>
    </w:tbl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6) Назив, односно име понуђача чија је понуда изабрана као најповољнија:</w:t>
      </w:r>
    </w:p>
    <w:p w:rsidR="003D2DEF" w:rsidRDefault="00405C03" w:rsidP="00355880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Комисија, после стручне оцене понуда, предлаже да се уговор о јавној набавци додели понуђачима: </w:t>
      </w:r>
    </w:p>
    <w:p w:rsidR="003D2DEF" w:rsidRPr="003D2DEF" w:rsidRDefault="003D2DEF" w:rsidP="003D2DEF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Викор доо, за Партију 1, 2, 5, 6, 7. </w:t>
      </w:r>
    </w:p>
    <w:p w:rsidR="003D2DEF" w:rsidRPr="003D2DEF" w:rsidRDefault="003D2DEF" w:rsidP="003D2DEF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>Гросис доо, за Партију 3, 4.</w:t>
      </w:r>
    </w:p>
    <w:p w:rsidR="00405C03" w:rsidRPr="003D2DEF" w:rsidRDefault="00405C03" w:rsidP="00355880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>Одговорно лице наручиоца прихватило је предлог Комисије за јавне набавке, те је на основу законског овлашћења донело одлуку о додели уговора којом се уговор о јавној набавци додељује понуђач</w:t>
      </w:r>
      <w:r w:rsidRPr="003D2DEF">
        <w:rPr>
          <w:rFonts w:ascii="Times New Roman" w:hAnsi="Times New Roman"/>
          <w:sz w:val="24"/>
          <w:szCs w:val="24"/>
          <w:lang w:val="sr-Cyrl-CS"/>
        </w:rPr>
        <w:t>има:</w:t>
      </w:r>
    </w:p>
    <w:p w:rsidR="003D2DEF" w:rsidRPr="003D2DEF" w:rsidRDefault="003D2DEF" w:rsidP="003D2DEF">
      <w:pPr>
        <w:pStyle w:val="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Викор доо, за Партију 1, 2, 5, 6, 7. </w:t>
      </w:r>
    </w:p>
    <w:p w:rsidR="003D2DEF" w:rsidRPr="003D2DEF" w:rsidRDefault="003D2DEF" w:rsidP="003D2DEF">
      <w:pPr>
        <w:pStyle w:val="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>Гросис доо, за Партију 3, 4.</w:t>
      </w:r>
    </w:p>
    <w:p w:rsidR="006D6A0A" w:rsidRPr="003D2DEF" w:rsidRDefault="006D6A0A" w:rsidP="006D6A0A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 </w:t>
      </w:r>
    </w:p>
    <w:p w:rsidR="00405C03" w:rsidRPr="003D2DEF" w:rsidRDefault="00405C03" w:rsidP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ПРАВНА ПОУКА: </w:t>
      </w:r>
    </w:p>
    <w:p w:rsidR="00405C03" w:rsidRPr="003D2DEF" w:rsidRDefault="00405C03" w:rsidP="00405C03">
      <w:pPr>
        <w:rPr>
          <w:lang w:val="sr-Cyrl-CS"/>
        </w:rPr>
      </w:pPr>
      <w:r w:rsidRPr="003D2DEF">
        <w:rPr>
          <w:lang w:val="sr-Cyrl-CS"/>
        </w:rPr>
        <w:t xml:space="preserve">Против ове одлуке понуђач може поднети Наручиоцу захтев за заштиту права у року од </w:t>
      </w:r>
      <w:r w:rsidRPr="003D2DEF">
        <w:rPr>
          <w:lang w:val="sr-Cyrl-RS"/>
        </w:rPr>
        <w:t>пет</w:t>
      </w:r>
      <w:r w:rsidRPr="003D2DEF">
        <w:rPr>
          <w:lang w:val="sr-Cyrl-CS"/>
        </w:rPr>
        <w:t xml:space="preserve"> дана од дана објављивања исте на порталу јавних набавки.</w:t>
      </w:r>
    </w:p>
    <w:p w:rsidR="00405C03" w:rsidRPr="003D2DEF" w:rsidRDefault="00405C03" w:rsidP="00405C03">
      <w:pPr>
        <w:jc w:val="both"/>
        <w:rPr>
          <w:lang w:val="sr-Cyrl-CS"/>
        </w:rPr>
      </w:pPr>
      <w:r w:rsidRPr="003D2DEF">
        <w:rPr>
          <w:lang w:val="sr-Cyrl-CS"/>
        </w:rPr>
        <w:t>Захтев за заштиту права подноси се Наручиоцу а копија се истовремено доставља Републичкој комисији за заштиту права.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="00505DA2" w:rsidRPr="003D2DEF">
        <w:rPr>
          <w:rFonts w:ascii="Times New Roman" w:hAnsi="Times New Roman"/>
          <w:sz w:val="24"/>
          <w:szCs w:val="24"/>
        </w:rPr>
        <w:t xml:space="preserve">              </w:t>
      </w:r>
      <w:r w:rsidRPr="003D2DEF">
        <w:rPr>
          <w:rFonts w:ascii="Times New Roman" w:hAnsi="Times New Roman"/>
          <w:sz w:val="24"/>
          <w:szCs w:val="24"/>
          <w:lang w:val="sr-Cyrl-CS"/>
        </w:rPr>
        <w:t>директор,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  <w:t>_______________________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  <w:t xml:space="preserve">        др. Драго Божић</w:t>
      </w:r>
    </w:p>
    <w:sectPr w:rsidR="00405C03" w:rsidRPr="003D2DEF" w:rsidSect="005F35C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91" w:rsidRDefault="003E5991" w:rsidP="00DE57A0">
      <w:pPr>
        <w:pStyle w:val="text"/>
      </w:pPr>
      <w:r>
        <w:separator/>
      </w:r>
    </w:p>
  </w:endnote>
  <w:endnote w:type="continuationSeparator" w:id="0">
    <w:p w:rsidR="003E5991" w:rsidRDefault="003E5991" w:rsidP="00DE57A0">
      <w:pPr>
        <w:pStyle w:val="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5D" w:rsidRDefault="00D7355D" w:rsidP="00071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55D" w:rsidRDefault="00D7355D" w:rsidP="009D6A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5D" w:rsidRDefault="00D7355D" w:rsidP="00071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991">
      <w:rPr>
        <w:rStyle w:val="PageNumber"/>
        <w:noProof/>
      </w:rPr>
      <w:t>1</w:t>
    </w:r>
    <w:r>
      <w:rPr>
        <w:rStyle w:val="PageNumber"/>
      </w:rPr>
      <w:fldChar w:fldCharType="end"/>
    </w:r>
  </w:p>
  <w:p w:rsidR="00D7355D" w:rsidRDefault="00D7355D" w:rsidP="009D6A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91" w:rsidRDefault="003E5991" w:rsidP="00DE57A0">
      <w:pPr>
        <w:pStyle w:val="text"/>
      </w:pPr>
      <w:r>
        <w:separator/>
      </w:r>
    </w:p>
  </w:footnote>
  <w:footnote w:type="continuationSeparator" w:id="0">
    <w:p w:rsidR="003E5991" w:rsidRDefault="003E5991" w:rsidP="00DE57A0">
      <w:pPr>
        <w:pStyle w:val="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416"/>
    <w:multiLevelType w:val="hybridMultilevel"/>
    <w:tmpl w:val="8FF651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32DEC"/>
    <w:multiLevelType w:val="hybridMultilevel"/>
    <w:tmpl w:val="8FF651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3A53"/>
    <w:multiLevelType w:val="hybridMultilevel"/>
    <w:tmpl w:val="8FF651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8"/>
    <w:rsid w:val="00033EE5"/>
    <w:rsid w:val="00071656"/>
    <w:rsid w:val="000D0B7F"/>
    <w:rsid w:val="00355880"/>
    <w:rsid w:val="003A2348"/>
    <w:rsid w:val="003B3F36"/>
    <w:rsid w:val="003D2DEF"/>
    <w:rsid w:val="003E5991"/>
    <w:rsid w:val="00405C03"/>
    <w:rsid w:val="00431B19"/>
    <w:rsid w:val="004819FE"/>
    <w:rsid w:val="00504BDE"/>
    <w:rsid w:val="00505DA2"/>
    <w:rsid w:val="00525EF4"/>
    <w:rsid w:val="005F35C8"/>
    <w:rsid w:val="00662672"/>
    <w:rsid w:val="006D6A0A"/>
    <w:rsid w:val="007B75A4"/>
    <w:rsid w:val="007E394A"/>
    <w:rsid w:val="008656BD"/>
    <w:rsid w:val="00921C75"/>
    <w:rsid w:val="009232A5"/>
    <w:rsid w:val="0098273C"/>
    <w:rsid w:val="009C0E9D"/>
    <w:rsid w:val="009D6A9C"/>
    <w:rsid w:val="009F7E79"/>
    <w:rsid w:val="00A050CF"/>
    <w:rsid w:val="00A25C5A"/>
    <w:rsid w:val="00A51FDD"/>
    <w:rsid w:val="00CC4945"/>
    <w:rsid w:val="00D7355D"/>
    <w:rsid w:val="00D952F9"/>
    <w:rsid w:val="00DB4340"/>
    <w:rsid w:val="00DE57A0"/>
    <w:rsid w:val="00E25B56"/>
    <w:rsid w:val="00FA61E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a">
    <w:name w:val="grupa"/>
    <w:basedOn w:val="Normal"/>
    <w:pPr>
      <w:spacing w:before="60" w:after="60"/>
      <w:jc w:val="center"/>
    </w:pPr>
    <w:rPr>
      <w:rFonts w:ascii="Verdana" w:hAnsi="Verdan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400" w:after="400"/>
      <w:jc w:val="center"/>
    </w:pPr>
    <w:rPr>
      <w:rFonts w:ascii="Verdana" w:hAnsi="Verdana"/>
      <w:b/>
      <w:bCs/>
      <w:i/>
      <w:iCs/>
      <w:sz w:val="40"/>
      <w:szCs w:val="40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Verdana" w:hAnsi="Verdan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Verdana" w:hAnsi="Verdan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Verdana" w:hAnsi="Verdan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Verdana" w:hAnsi="Verdana"/>
      <w:b/>
      <w:bCs/>
      <w:i/>
      <w:iCs/>
      <w:sz w:val="22"/>
      <w:szCs w:val="22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Verdana" w:hAnsi="Verdana"/>
      <w:sz w:val="22"/>
      <w:szCs w:val="22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Verdana" w:hAnsi="Verdan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jc w:val="center"/>
    </w:pPr>
    <w:rPr>
      <w:rFonts w:ascii="Verdana" w:hAnsi="Verdana"/>
      <w:b/>
      <w:bCs/>
      <w:spacing w:val="60"/>
      <w:sz w:val="22"/>
      <w:szCs w:val="22"/>
    </w:rPr>
  </w:style>
  <w:style w:type="paragraph" w:customStyle="1" w:styleId="nazivobrasca">
    <w:name w:val="nazivobrasca"/>
    <w:basedOn w:val="Normal"/>
    <w:pPr>
      <w:jc w:val="center"/>
    </w:pPr>
    <w:rPr>
      <w:rFonts w:ascii="Verdana" w:hAnsi="Verdana"/>
      <w:b/>
      <w:bCs/>
      <w:sz w:val="22"/>
      <w:szCs w:val="22"/>
    </w:rPr>
  </w:style>
  <w:style w:type="paragraph" w:customStyle="1" w:styleId="o-obrazlozenje">
    <w:name w:val="o-obrazlozenje"/>
    <w:basedOn w:val="Normal"/>
    <w:pPr>
      <w:jc w:val="center"/>
    </w:pPr>
    <w:rPr>
      <w:rFonts w:ascii="Verdana" w:hAnsi="Verdana"/>
      <w:b/>
      <w:bCs/>
      <w:spacing w:val="60"/>
      <w:sz w:val="20"/>
      <w:szCs w:val="20"/>
    </w:rPr>
  </w:style>
  <w:style w:type="paragraph" w:customStyle="1" w:styleId="nabrajanje-crtice">
    <w:name w:val="nabrajanje-crtice"/>
    <w:basedOn w:val="Normal"/>
    <w:pPr>
      <w:spacing w:before="60" w:after="60"/>
      <w:ind w:left="284"/>
      <w:jc w:val="both"/>
    </w:pPr>
    <w:rPr>
      <w:rFonts w:ascii="Verdana" w:hAnsi="Verdana"/>
      <w:sz w:val="22"/>
      <w:szCs w:val="22"/>
    </w:rPr>
  </w:style>
  <w:style w:type="paragraph" w:customStyle="1" w:styleId="predmet">
    <w:name w:val="predmet"/>
    <w:basedOn w:val="Normal"/>
    <w:pPr>
      <w:spacing w:before="60" w:after="60"/>
      <w:ind w:left="1247" w:hanging="1247"/>
    </w:pPr>
    <w:rPr>
      <w:rFonts w:ascii="Verdana" w:hAnsi="Verdan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Verdana" w:hAnsi="Verdana"/>
      <w:b/>
      <w:bCs/>
      <w:spacing w:val="20"/>
      <w:sz w:val="20"/>
      <w:szCs w:val="20"/>
    </w:rPr>
  </w:style>
  <w:style w:type="paragraph" w:customStyle="1" w:styleId="naslov">
    <w:name w:val="naslov"/>
    <w:basedOn w:val="Normal"/>
    <w:pPr>
      <w:spacing w:before="180" w:after="180"/>
    </w:pPr>
    <w:rPr>
      <w:rFonts w:ascii="Verdana" w:hAnsi="Verdan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Verdana" w:hAnsi="Verdana"/>
      <w:b/>
      <w:bCs/>
      <w:i/>
      <w:iCs/>
    </w:rPr>
  </w:style>
  <w:style w:type="paragraph" w:customStyle="1" w:styleId="uvuceno">
    <w:name w:val="uvuceno"/>
    <w:basedOn w:val="Normal"/>
    <w:pPr>
      <w:spacing w:before="60" w:after="60"/>
      <w:ind w:left="284" w:hanging="284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9D6A9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9D6A9C"/>
  </w:style>
  <w:style w:type="paragraph" w:styleId="BalloonText">
    <w:name w:val="Balloon Text"/>
    <w:basedOn w:val="Normal"/>
    <w:link w:val="BalloonTextChar"/>
    <w:rsid w:val="003A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a">
    <w:name w:val="grupa"/>
    <w:basedOn w:val="Normal"/>
    <w:pPr>
      <w:spacing w:before="60" w:after="60"/>
      <w:jc w:val="center"/>
    </w:pPr>
    <w:rPr>
      <w:rFonts w:ascii="Verdana" w:hAnsi="Verdan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400" w:after="400"/>
      <w:jc w:val="center"/>
    </w:pPr>
    <w:rPr>
      <w:rFonts w:ascii="Verdana" w:hAnsi="Verdana"/>
      <w:b/>
      <w:bCs/>
      <w:i/>
      <w:iCs/>
      <w:sz w:val="40"/>
      <w:szCs w:val="40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Verdana" w:hAnsi="Verdan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Verdana" w:hAnsi="Verdan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Verdana" w:hAnsi="Verdan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Verdana" w:hAnsi="Verdana"/>
      <w:b/>
      <w:bCs/>
      <w:i/>
      <w:iCs/>
      <w:sz w:val="22"/>
      <w:szCs w:val="22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Verdana" w:hAnsi="Verdana"/>
      <w:sz w:val="22"/>
      <w:szCs w:val="22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Verdana" w:hAnsi="Verdan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jc w:val="center"/>
    </w:pPr>
    <w:rPr>
      <w:rFonts w:ascii="Verdana" w:hAnsi="Verdana"/>
      <w:b/>
      <w:bCs/>
      <w:spacing w:val="60"/>
      <w:sz w:val="22"/>
      <w:szCs w:val="22"/>
    </w:rPr>
  </w:style>
  <w:style w:type="paragraph" w:customStyle="1" w:styleId="nazivobrasca">
    <w:name w:val="nazivobrasca"/>
    <w:basedOn w:val="Normal"/>
    <w:pPr>
      <w:jc w:val="center"/>
    </w:pPr>
    <w:rPr>
      <w:rFonts w:ascii="Verdana" w:hAnsi="Verdana"/>
      <w:b/>
      <w:bCs/>
      <w:sz w:val="22"/>
      <w:szCs w:val="22"/>
    </w:rPr>
  </w:style>
  <w:style w:type="paragraph" w:customStyle="1" w:styleId="o-obrazlozenje">
    <w:name w:val="o-obrazlozenje"/>
    <w:basedOn w:val="Normal"/>
    <w:pPr>
      <w:jc w:val="center"/>
    </w:pPr>
    <w:rPr>
      <w:rFonts w:ascii="Verdana" w:hAnsi="Verdana"/>
      <w:b/>
      <w:bCs/>
      <w:spacing w:val="60"/>
      <w:sz w:val="20"/>
      <w:szCs w:val="20"/>
    </w:rPr>
  </w:style>
  <w:style w:type="paragraph" w:customStyle="1" w:styleId="nabrajanje-crtice">
    <w:name w:val="nabrajanje-crtice"/>
    <w:basedOn w:val="Normal"/>
    <w:pPr>
      <w:spacing w:before="60" w:after="60"/>
      <w:ind w:left="284"/>
      <w:jc w:val="both"/>
    </w:pPr>
    <w:rPr>
      <w:rFonts w:ascii="Verdana" w:hAnsi="Verdana"/>
      <w:sz w:val="22"/>
      <w:szCs w:val="22"/>
    </w:rPr>
  </w:style>
  <w:style w:type="paragraph" w:customStyle="1" w:styleId="predmet">
    <w:name w:val="predmet"/>
    <w:basedOn w:val="Normal"/>
    <w:pPr>
      <w:spacing w:before="60" w:after="60"/>
      <w:ind w:left="1247" w:hanging="1247"/>
    </w:pPr>
    <w:rPr>
      <w:rFonts w:ascii="Verdana" w:hAnsi="Verdan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Verdana" w:hAnsi="Verdana"/>
      <w:b/>
      <w:bCs/>
      <w:spacing w:val="20"/>
      <w:sz w:val="20"/>
      <w:szCs w:val="20"/>
    </w:rPr>
  </w:style>
  <w:style w:type="paragraph" w:customStyle="1" w:styleId="naslov">
    <w:name w:val="naslov"/>
    <w:basedOn w:val="Normal"/>
    <w:pPr>
      <w:spacing w:before="180" w:after="180"/>
    </w:pPr>
    <w:rPr>
      <w:rFonts w:ascii="Verdana" w:hAnsi="Verdan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Verdana" w:hAnsi="Verdana"/>
      <w:b/>
      <w:bCs/>
      <w:i/>
      <w:iCs/>
    </w:rPr>
  </w:style>
  <w:style w:type="paragraph" w:customStyle="1" w:styleId="uvuceno">
    <w:name w:val="uvuceno"/>
    <w:basedOn w:val="Normal"/>
    <w:pPr>
      <w:spacing w:before="60" w:after="60"/>
      <w:ind w:left="284" w:hanging="284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9D6A9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9D6A9C"/>
  </w:style>
  <w:style w:type="paragraph" w:styleId="BalloonText">
    <w:name w:val="Balloon Text"/>
    <w:basedOn w:val="Normal"/>
    <w:link w:val="BalloonTextChar"/>
    <w:rsid w:val="003A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Одлука о додели уговора у поступку јавне набавке</vt:lpstr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додели уговора у поступку јавне набавке</dc:title>
  <dc:creator>Pravno</dc:creator>
  <cp:lastModifiedBy>Info</cp:lastModifiedBy>
  <cp:revision>4</cp:revision>
  <cp:lastPrinted>2019-07-22T07:27:00Z</cp:lastPrinted>
  <dcterms:created xsi:type="dcterms:W3CDTF">2020-05-18T10:53:00Z</dcterms:created>
  <dcterms:modified xsi:type="dcterms:W3CDTF">2020-05-26T12:05:00Z</dcterms:modified>
</cp:coreProperties>
</file>